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530"/>
        <w:gridCol w:w="4545"/>
        <w:tblGridChange w:id="0">
          <w:tblGrid>
            <w:gridCol w:w="4950"/>
            <w:gridCol w:w="4530"/>
            <w:gridCol w:w="4545"/>
          </w:tblGrid>
        </w:tblGridChange>
      </w:tblGrid>
      <w:tr>
        <w:trPr>
          <w:cantSplit w:val="0"/>
          <w:trHeight w:val="653.61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473200"/>
                  <wp:effectExtent b="0" l="0" r="0" t="0"/>
                  <wp:docPr id="385"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3009900" cy="14732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6">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Centro de Formación y Profesionalización del Tribunal de Justicia Administrativa (CEPTRI).</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de Justicia Administrativa del Estado de México.</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Información, Planeación, Programación y Evaluación.</w:t>
            </w:r>
          </w:p>
        </w:tc>
      </w:tr>
      <w:tr>
        <w:trPr>
          <w:cantSplit w:val="0"/>
          <w:trHeight w:val="70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b w:val="1"/>
                  <w:color w:val="0563c1"/>
                  <w:u w:val="single"/>
                  <w:rtl w:val="0"/>
                </w:rPr>
                <w:t xml:space="preserve">https://trijaem.gob.mx/micrositios/ceptri/index.html</w:t>
              </w:r>
            </w:hyperlink>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2025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100</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35.0" w:type="dxa"/>
        <w:jc w:val="left"/>
        <w:tblInd w:w="-602.0" w:type="dxa"/>
        <w:tblLayout w:type="fixed"/>
        <w:tblLook w:val="0400"/>
      </w:tblPr>
      <w:tblGrid>
        <w:gridCol w:w="6195"/>
        <w:gridCol w:w="7740"/>
        <w:tblGridChange w:id="0">
          <w:tblGrid>
            <w:gridCol w:w="619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Micrositio que extiende de manera amplía la información y funcionalidades del Centro de Formación y Profesionalización del Tribunal de Justicia Administrativa (CEPTRI), que se implementó a efecto de tener acercamiento con la ciudadanía, proporcionando información relevante respecto de los servicios de profesionalización que ofrece el Tribunal de Justicia Administrativa del Estado de México.</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Objetivo:</w:t>
            </w:r>
          </w:p>
          <w:p w:rsidR="00000000" w:rsidDel="00000000" w:rsidP="00000000" w:rsidRDefault="00000000" w:rsidRPr="00000000" w14:paraId="0000001F">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Acercar a la población a través de un micrositio a profesionalizarse en las diversas especialidades de este Tribunal, al igual que, al personal jurisdiccional del Tribunal de Justicia Administrativa y al público en general, en el quehacer ético y profesional en su competencia; </w:t>
            </w:r>
          </w:p>
          <w:p w:rsidR="00000000" w:rsidDel="00000000" w:rsidP="00000000" w:rsidRDefault="00000000" w:rsidRPr="00000000" w14:paraId="00000020">
            <w:pPr>
              <w:spacing w:after="0" w:line="240" w:lineRule="auto"/>
              <w:rPr>
                <w:rFonts w:ascii="Palatino Linotype" w:cs="Palatino Linotype" w:eastAsia="Palatino Linotype" w:hAnsi="Palatino Linotype"/>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con el propósito de lograr que a través del micrositio del Centro de Formación y Profesionalización del Tribunal de Justicia Administrativa (CEPTRI), se logre que haya acercamiento eficaz con la ciudadanía, a efecto de que los aspirantes a contar con una especialidad ya sea en materia de responsabilidades administrativas, en justicia administrativa y/o derecho administrativo, cuenten con un servicio eficiente, mejorando la calidad de la información que se proporciona respecto de las especialidades que se ofrecen, así como, al tratarse de aspirantes que sean servidores públicos del Tribunal y/o de otras dependencias, mejoren su desempeño en las actividades jurisdiccionales que practican día a día, siempre en pro de las garantías de la población.</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p w:rsidR="00000000" w:rsidDel="00000000" w:rsidP="00000000" w:rsidRDefault="00000000" w:rsidRPr="00000000" w14:paraId="00000024">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6">
      <w:pPr>
        <w:spacing w:after="0" w:line="240" w:lineRule="auto"/>
        <w:ind w:left="-708" w:firstLine="0"/>
        <w:jc w:val="left"/>
        <w:rPr>
          <w:rFonts w:ascii="Arial" w:cs="Arial" w:eastAsia="Arial" w:hAnsi="Arial"/>
          <w:b w:val="1"/>
          <w:sz w:val="24"/>
          <w:szCs w:val="24"/>
        </w:rPr>
      </w:pPr>
      <w:bookmarkStart w:colFirst="0" w:colLast="0" w:name="_heading=h.5lqmcjq76gdq" w:id="1"/>
      <w:bookmarkEnd w:id="1"/>
      <w:r w:rsidDel="00000000" w:rsidR="00000000" w:rsidRPr="00000000">
        <w:rPr>
          <w:rtl w:val="0"/>
        </w:rPr>
      </w:r>
    </w:p>
    <w:p w:rsidR="00000000" w:rsidDel="00000000" w:rsidP="00000000" w:rsidRDefault="00000000" w:rsidRPr="00000000" w14:paraId="00000027">
      <w:pPr>
        <w:spacing w:after="0" w:line="240" w:lineRule="auto"/>
        <w:ind w:left="-708" w:firstLine="0"/>
        <w:jc w:val="left"/>
        <w:rPr>
          <w:rFonts w:ascii="Arial" w:cs="Arial" w:eastAsia="Arial" w:hAnsi="Arial"/>
          <w:b w:val="1"/>
          <w:sz w:val="24"/>
          <w:szCs w:val="24"/>
        </w:rPr>
      </w:pPr>
      <w:bookmarkStart w:colFirst="0" w:colLast="0" w:name="_heading=h.dl8bxftlg8y" w:id="2"/>
      <w:bookmarkEnd w:id="2"/>
      <w:r w:rsidDel="00000000" w:rsidR="00000000" w:rsidRPr="00000000">
        <w:rPr>
          <w:rtl w:val="0"/>
        </w:rPr>
      </w:r>
    </w:p>
    <w:p w:rsidR="00000000" w:rsidDel="00000000" w:rsidP="00000000" w:rsidRDefault="00000000" w:rsidRPr="00000000" w14:paraId="00000028">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id w:val="2101505889"/>
        <w:tag w:val="goog_rdk_0"/>
      </w:sdtPr>
      <w:sdtContent>
        <w:tbl>
          <w:tblPr>
            <w:tblStyle w:val="Table3"/>
            <w:tblW w:w="1443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1500"/>
            <w:gridCol w:w="3495"/>
            <w:gridCol w:w="4725"/>
            <w:tblGridChange w:id="0">
              <w:tblGrid>
                <w:gridCol w:w="4710"/>
                <w:gridCol w:w="1500"/>
                <w:gridCol w:w="3495"/>
                <w:gridCol w:w="472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proporcionan de manera digital los servicios de profesionalización que ofrece el TRIJAEM, lo que facilita su acceso.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93036" cy="919687"/>
                      <wp:effectExtent b="0" l="0" r="0" t="0"/>
                      <wp:docPr id="400"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2493036" cy="919687"/>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que proviene de las actividades sustantivas del Instituto de Justicia Administrativa del TRIJAEM.</w:t>
                </w:r>
              </w:p>
              <w:p w:rsidR="00000000" w:rsidDel="00000000" w:rsidP="00000000" w:rsidRDefault="00000000" w:rsidRPr="00000000" w14:paraId="0000003E">
                <w:pPr>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382202" cy="573762"/>
                      <wp:effectExtent b="0" l="0" r="0" t="0"/>
                      <wp:docPr id="39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382202" cy="57376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videos e infografías que permiten sea un micrositio interactivo con la población, además que permite mayor comprensión, contando con un lenguaje ciudadano. </w:t>
                </w:r>
              </w:p>
              <w:p w:rsidR="00000000" w:rsidDel="00000000" w:rsidP="00000000" w:rsidRDefault="00000000" w:rsidRPr="00000000" w14:paraId="00000045">
                <w:pPr>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18373" cy="426090"/>
                      <wp:effectExtent b="0" l="0" r="0" t="0"/>
                      <wp:docPr id="39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218373" cy="42609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que los profesionales del Derecho y de carreras académicas afines se profesionalicen en las especialidades que ofrece el TRIJAEM, adicional a que permite que se cuente con un mejor desempeño.</w:t>
                </w:r>
              </w:p>
              <w:p w:rsidR="00000000" w:rsidDel="00000000" w:rsidP="00000000" w:rsidRDefault="00000000" w:rsidRPr="00000000" w14:paraId="0000004C">
                <w:pPr>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53652" cy="871979"/>
                      <wp:effectExtent b="0" l="0" r="0" t="0"/>
                      <wp:docPr id="38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553652" cy="871979"/>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para acceder a los servicios de profesionalización que ofrece el TRIJAEM, adicional a que es comprobable. </w:t>
                </w:r>
              </w:p>
              <w:p w:rsidR="00000000" w:rsidDel="00000000" w:rsidP="00000000" w:rsidRDefault="00000000" w:rsidRPr="00000000" w14:paraId="00000054">
                <w:pPr>
                  <w:spacing w:after="0" w:line="240" w:lineRule="auto"/>
                  <w:jc w:val="both"/>
                  <w:rPr>
                    <w:rFonts w:ascii="Palatino Linotype" w:cs="Palatino Linotype" w:eastAsia="Palatino Linotype" w:hAnsi="Palatino Linotype"/>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23123" cy="336593"/>
                      <wp:effectExtent b="0" l="0" r="0" t="0"/>
                      <wp:docPr id="38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123123" cy="33659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Pr>
                  <w:drawing>
                    <wp:inline distB="114300" distT="114300" distL="114300" distR="114300">
                      <wp:extent cx="2477452" cy="906385"/>
                      <wp:effectExtent b="0" l="0" r="0" t="0"/>
                      <wp:docPr id="39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477452" cy="90638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micrositio del CEPTRI es proporcionada en concordancia con la normatividad que lo regula. </w:t>
                </w:r>
              </w:p>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proporcionada en el micrositio puede verificarse a través de los medios de contacto del Instituto de Justicia Administrativa así como consultable en los REVOE.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los elementos necesarios para acceder a las ofertas académicas que proporciona el TRIJAEM.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02839" cy="1430502"/>
                      <wp:effectExtent b="0" l="0" r="0" t="0"/>
                      <wp:docPr id="39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202839" cy="1430502"/>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Contiene la información actualizada respecto de las convocatorias de profesionalización respecto de las diversas especialidades que ofrece el TRIJAEM.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53602" cy="1786321"/>
                      <wp:effectExtent b="0" l="0" r="0" t="0"/>
                      <wp:docPr id="39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153602" cy="1786321"/>
                              </a:xfrm>
                              <a:prstGeom prst="rect"/>
                              <a:ln/>
                            </pic:spPr>
                          </pic:pic>
                        </a:graphicData>
                      </a:graphic>
                    </wp:inline>
                  </w:drawing>
                </w:r>
                <w:r w:rsidDel="00000000" w:rsidR="00000000" w:rsidRPr="00000000">
                  <w:rPr>
                    <w:rtl w:val="0"/>
                  </w:rPr>
                </w:r>
              </w:p>
            </w:tc>
          </w:tr>
          <w:tr>
            <w:trPr>
              <w:cantSplit w:val="0"/>
              <w:trHeight w:val="788.613281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puede ser descargada en formato de datos abiertos.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609600"/>
                      <wp:effectExtent b="0" l="0" r="0" t="0"/>
                      <wp:docPr id="39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1242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un contador de visitas con el objetivo de conocer el alcance a la población en general que se tiene día a día, el cual nos permite seguir fortaleciendo los servicios en línea que se brindan.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363027" cy="971520"/>
                      <wp:effectExtent b="0" l="0" r="0" t="0"/>
                      <wp:docPr id="388" name="image8.png"/>
                      <a:graphic>
                        <a:graphicData uri="http://schemas.openxmlformats.org/drawingml/2006/picture">
                          <pic:pic>
                            <pic:nvPicPr>
                              <pic:cNvPr id="0" name="image8.png"/>
                              <pic:cNvPicPr preferRelativeResize="0"/>
                            </pic:nvPicPr>
                            <pic:blipFill>
                              <a:blip r:embed="rId18"/>
                              <a:srcRect b="22929" l="38754" r="24732" t="17313"/>
                              <a:stretch>
                                <a:fillRect/>
                              </a:stretch>
                            </pic:blipFill>
                            <pic:spPr>
                              <a:xfrm>
                                <a:off x="0" y="0"/>
                                <a:ext cx="1363027" cy="971520"/>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micrositio propuesto ofrece una Encuesta de Satisfacción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44152" cy="677672"/>
                      <wp:effectExtent b="0" l="0" r="0" t="0"/>
                      <wp:docPr id="39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744152" cy="677672"/>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datos obtenidos de la encuesta se analizan y, en caso, de ser necesario se implementan acciones para mejorar el servicio que se brinda, y atender de manera eficiente las fallas detectadas, siempre en busca de la mejora continua y el servicio.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34602" cy="865474"/>
                      <wp:effectExtent b="0" l="0" r="0" t="0"/>
                      <wp:docPr id="39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534602" cy="865474"/>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a la población en general emitir el nivel de satisfacción respecto de la información que se pone a su disposición, para la mejora continua.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993900"/>
                      <wp:effectExtent b="0" l="0" r="0" t="0"/>
                      <wp:docPr id="40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1242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rHeight w:val="1790.185546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fortalecido un gobierno cercano a la ciudadanía mediante servicios de profesionalización eficientes y de calidad. Ahora, la población puede acceder fácilmente a información sobre las especialidades ofrecidas por el Tribunal de Justicia Administrativa, lo que beneficia a quienes buscan capacitarse. Esto permite reducir costos y ahorrar tiempo, evitando filas y esperas, al concentrar en un solo sitio toda la información necesaria sobre el Centro de Profesionalización del Tribunal de Justicia Administrativa del Estado de México..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67025" cy="914400"/>
                      <wp:effectExtent b="0" l="0" r="0" t="0"/>
                      <wp:docPr id="38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670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repartieron folletos y se realizó la difusión por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spacing w:after="0" w:line="240" w:lineRule="auto"/>
                  <w:jc w:val="center"/>
                  <w:rPr>
                    <w:rFonts w:ascii="Palatino Linotype" w:cs="Palatino Linotype" w:eastAsia="Palatino Linotype" w:hAnsi="Palatino Linotype"/>
                  </w:rPr>
                </w:pPr>
                <w:r w:rsidDel="00000000" w:rsidR="00000000" w:rsidRPr="00000000">
                  <w:rPr>
                    <w:rFonts w:ascii="Aptos" w:cs="Aptos" w:eastAsia="Aptos" w:hAnsi="Aptos"/>
                  </w:rPr>
                  <w:drawing>
                    <wp:inline distB="0" distT="0" distL="0" distR="0">
                      <wp:extent cx="2243629" cy="1696403"/>
                      <wp:effectExtent b="0" l="0" r="0" t="0"/>
                      <wp:docPr descr="Un letrero de color blanco&#10;&#10;El contenido generado por IA puede ser incorrecto." id="394" name="image14.png"/>
                      <a:graphic>
                        <a:graphicData uri="http://schemas.openxmlformats.org/drawingml/2006/picture">
                          <pic:pic>
                            <pic:nvPicPr>
                              <pic:cNvPr descr="Un letrero de color blanco&#10;&#10;El contenido generado por IA puede ser incorrecto." id="0" name="image14.png"/>
                              <pic:cNvPicPr preferRelativeResize="0"/>
                            </pic:nvPicPr>
                            <pic:blipFill>
                              <a:blip r:embed="rId23"/>
                              <a:srcRect b="0" l="0" r="0" t="0"/>
                              <a:stretch>
                                <a:fillRect/>
                              </a:stretch>
                            </pic:blipFill>
                            <pic:spPr>
                              <a:xfrm>
                                <a:off x="0" y="0"/>
                                <a:ext cx="2243629" cy="169640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bl>
      </w:sdtContent>
    </w:sdt>
    <w:p w:rsidR="00000000" w:rsidDel="00000000" w:rsidP="00000000" w:rsidRDefault="00000000" w:rsidRPr="00000000" w14:paraId="000000A7">
      <w:pPr>
        <w:spacing w:after="240" w:line="276" w:lineRule="auto"/>
        <w:ind w:left="-708" w:firstLine="0"/>
        <w:rPr>
          <w:rFonts w:ascii="Arial" w:cs="Arial" w:eastAsia="Arial" w:hAnsi="Arial"/>
          <w:b w:val="1"/>
          <w:sz w:val="24"/>
          <w:szCs w:val="24"/>
        </w:rPr>
      </w:pPr>
      <w:bookmarkStart w:colFirst="0" w:colLast="0" w:name="_heading=h.uye03zr0ncmu" w:id="4"/>
      <w:bookmarkEnd w:id="4"/>
      <w:r w:rsidDel="00000000" w:rsidR="00000000" w:rsidRPr="00000000">
        <w:rPr>
          <w:rtl w:val="0"/>
        </w:rPr>
      </w:r>
    </w:p>
    <w:p w:rsidR="00000000" w:rsidDel="00000000" w:rsidP="00000000" w:rsidRDefault="00000000" w:rsidRPr="00000000" w14:paraId="000000A8">
      <w:pPr>
        <w:spacing w:after="0" w:line="240" w:lineRule="auto"/>
        <w:ind w:left="-708" w:firstLine="0"/>
        <w:jc w:val="center"/>
        <w:rPr>
          <w:rFonts w:ascii="Arial" w:cs="Arial" w:eastAsia="Arial" w:hAnsi="Arial"/>
          <w:b w:val="1"/>
          <w:sz w:val="24"/>
          <w:szCs w:val="24"/>
        </w:rPr>
      </w:pPr>
      <w:bookmarkStart w:colFirst="0" w:colLast="0" w:name="_heading=h.c0tbzy5525wm" w:id="5"/>
      <w:bookmarkEnd w:id="5"/>
      <w:r w:rsidDel="00000000" w:rsidR="00000000" w:rsidRPr="00000000">
        <w:rPr>
          <w:rtl w:val="0"/>
        </w:rPr>
      </w:r>
    </w:p>
    <w:p w:rsidR="00000000" w:rsidDel="00000000" w:rsidP="00000000" w:rsidRDefault="00000000" w:rsidRPr="00000000" w14:paraId="000000A9">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pto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90"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5" l="27472"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-933436</wp:posOffset>
          </wp:positionH>
          <wp:positionV relativeFrom="paragraph">
            <wp:posOffset>-85712</wp:posOffset>
          </wp:positionV>
          <wp:extent cx="9915525" cy="7682548"/>
          <wp:effectExtent b="0" l="0" r="0" t="0"/>
          <wp:wrapNone/>
          <wp:docPr descr="Imagen que contiene Gráfico de superficie&#10;&#10;Descripción generada automáticamente" id="384"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9915525" cy="76825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5.png"/><Relationship Id="rId21" Type="http://schemas.openxmlformats.org/officeDocument/2006/relationships/image" Target="media/image4.png"/><Relationship Id="rId24" Type="http://schemas.openxmlformats.org/officeDocument/2006/relationships/header" Target="header1.xm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hyperlink" Target="https://trijaem.gob.mx/micrositios/ceptri/index.html" TargetMode="External"/><Relationship Id="rId11" Type="http://schemas.openxmlformats.org/officeDocument/2006/relationships/image" Target="media/image10.png"/><Relationship Id="rId10" Type="http://schemas.openxmlformats.org/officeDocument/2006/relationships/image" Target="media/image7.png"/><Relationship Id="rId13" Type="http://schemas.openxmlformats.org/officeDocument/2006/relationships/image" Target="media/image12.png"/><Relationship Id="rId12" Type="http://schemas.openxmlformats.org/officeDocument/2006/relationships/image" Target="media/image15.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17.png"/><Relationship Id="rId19" Type="http://schemas.openxmlformats.org/officeDocument/2006/relationships/image" Target="media/image1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TV8PuI8FOrPZzo2XLc25DFKJcA==">CgMxLjAaHwoBMBIaChgICVIUChJ0YWJsZS5mcDhnaWtlaHdwdGwyCWguMzBqMHpsbDIOaC41bHFtY2pxNzZnZHEyDWguZGw4YnhmdGxnOHkyDmgueTJmZG5ib2Z0aDI5Mg5oLnV5ZTAzenIwbmNtdTIOaC5jMHRienk1NTI1d204AHIhMUx3NTdJcGt3VHNSQUNnMjAtOGxpMHB2bGQ0OXBkYzJo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